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63BE9EC" w:rsidR="008D6BD8" w:rsidRPr="00561678" w:rsidRDefault="00FD0FAB" w:rsidP="00E16920">
      <w:pPr>
        <w:contextualSpacing/>
        <w:jc w:val="center"/>
      </w:pPr>
      <w:r w:rsidRPr="00561678">
        <w:t>Запрос котировок №</w:t>
      </w:r>
      <w:r w:rsidR="008D6BD8" w:rsidRPr="00561678">
        <w:t xml:space="preserve"> </w:t>
      </w:r>
      <w:r w:rsidR="007152FE">
        <w:rPr>
          <w:b/>
        </w:rPr>
        <w:t>8</w:t>
      </w:r>
      <w:r w:rsidR="00561678" w:rsidRPr="00493B8F">
        <w:rPr>
          <w:b/>
        </w:rPr>
        <w:t>/</w:t>
      </w:r>
      <w:r w:rsidR="00561678" w:rsidRPr="00561678">
        <w:rPr>
          <w:b/>
        </w:rPr>
        <w:t>2</w:t>
      </w:r>
      <w:r w:rsidR="00886271">
        <w:rPr>
          <w:b/>
        </w:rPr>
        <w:t>2</w:t>
      </w:r>
      <w:r w:rsidR="00561678" w:rsidRPr="00561678">
        <w:rPr>
          <w:b/>
        </w:rPr>
        <w:t>061000</w:t>
      </w:r>
      <w:r w:rsidR="007152FE">
        <w:rPr>
          <w:b/>
        </w:rPr>
        <w:t>036</w:t>
      </w:r>
    </w:p>
    <w:p w14:paraId="1010E50F" w14:textId="73302412"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расходного медицинского материала (шовный материал)</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313F0288" w:rsidR="007152FE" w:rsidRPr="007152FE" w:rsidRDefault="007152FE" w:rsidP="007152FE">
      <w:pPr>
        <w:contextualSpacing/>
        <w:jc w:val="both"/>
        <w:rPr>
          <w:color w:val="000000"/>
        </w:rPr>
      </w:pPr>
      <w:r>
        <w:rPr>
          <w:color w:val="000000"/>
        </w:rPr>
        <w:t xml:space="preserve">                                    заведующая аптекой – </w:t>
      </w:r>
      <w:proofErr w:type="spellStart"/>
      <w:r>
        <w:rPr>
          <w:color w:val="000000"/>
        </w:rPr>
        <w:t>Охотникова</w:t>
      </w:r>
      <w:proofErr w:type="spellEnd"/>
      <w:r>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4B0292A" w:rsidR="00E53932" w:rsidRDefault="007152FE" w:rsidP="007152FE">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Pr="00DA76AB">
        <w:rPr>
          <w:rFonts w:eastAsia="Andale Sans UI"/>
          <w:kern w:val="1"/>
          <w:lang w:eastAsia="zh-CN"/>
        </w:rPr>
        <w:t xml:space="preserve">поставку </w:t>
      </w:r>
      <w:r w:rsidRPr="00DA76AB">
        <w:t>расходного медицинс</w:t>
      </w:r>
      <w:r>
        <w:t>кого     материала (шовный материал)</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B72B500" w:rsidR="00BE1C7D" w:rsidRDefault="006533A5" w:rsidP="00493B8F">
      <w:pPr>
        <w:jc w:val="both"/>
        <w:rPr>
          <w:rFonts w:eastAsia="Calibri"/>
          <w:lang w:eastAsia="en-US"/>
        </w:rPr>
      </w:pPr>
      <w:r w:rsidRPr="007969A7">
        <w:t>Наименование товара:</w:t>
      </w:r>
      <w:r>
        <w:t xml:space="preserve"> </w:t>
      </w:r>
      <w:r w:rsidR="007152FE">
        <w:t>расходный</w:t>
      </w:r>
      <w:r w:rsidR="007152FE" w:rsidRPr="00DA76AB">
        <w:t xml:space="preserve"> медицинс</w:t>
      </w:r>
      <w:r w:rsidR="007152FE">
        <w:t>кий  материал (шовный материал)</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5B6E81C"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1157" w:rsidRPr="00E57657">
        <w:t xml:space="preserve">- </w:t>
      </w:r>
      <w:r w:rsidR="007152FE" w:rsidRPr="00DA76AB">
        <w:rPr>
          <w:rFonts w:eastAsia="Calibri"/>
          <w:b/>
        </w:rPr>
        <w:t>54 881</w:t>
      </w:r>
      <w:r w:rsidR="007152FE" w:rsidRPr="00DA76AB">
        <w:rPr>
          <w:rFonts w:eastAsia="Calibri"/>
          <w:b/>
          <w:bCs/>
        </w:rPr>
        <w:t xml:space="preserve"> (Пятьдесят четыре тысячи восемьсот восемьдесят один) рубль 66 копеек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C00C2B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7740A">
        <w:rPr>
          <w:b/>
          <w:bCs/>
          <w:sz w:val="24"/>
          <w:szCs w:val="28"/>
        </w:rPr>
        <w:t>2</w:t>
      </w:r>
      <w:r w:rsidR="007152FE">
        <w:rPr>
          <w:b/>
          <w:bCs/>
          <w:sz w:val="24"/>
          <w:szCs w:val="28"/>
        </w:rPr>
        <w:t>6</w:t>
      </w:r>
      <w:r w:rsidR="008C4AC3" w:rsidRPr="00114FBB">
        <w:rPr>
          <w:b/>
          <w:bCs/>
          <w:sz w:val="24"/>
          <w:szCs w:val="28"/>
        </w:rPr>
        <w:t>.</w:t>
      </w:r>
      <w:r w:rsidR="00191157">
        <w:rPr>
          <w:b/>
          <w:bCs/>
          <w:sz w:val="24"/>
          <w:szCs w:val="28"/>
        </w:rPr>
        <w:t>01</w:t>
      </w:r>
      <w:r w:rsidR="002E18FE" w:rsidRPr="00114FBB">
        <w:rPr>
          <w:b/>
          <w:bCs/>
          <w:sz w:val="24"/>
          <w:szCs w:val="28"/>
        </w:rPr>
        <w:t>.202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07F6E71"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7152FE">
        <w:rPr>
          <w:b/>
          <w:bCs/>
          <w:sz w:val="24"/>
          <w:szCs w:val="28"/>
        </w:rPr>
        <w:t>02</w:t>
      </w:r>
      <w:r w:rsidR="008C4AC3" w:rsidRPr="00114FBB">
        <w:rPr>
          <w:b/>
          <w:bCs/>
          <w:sz w:val="24"/>
          <w:szCs w:val="28"/>
        </w:rPr>
        <w:t>.</w:t>
      </w:r>
      <w:r w:rsidR="00191157">
        <w:rPr>
          <w:b/>
          <w:bCs/>
          <w:sz w:val="24"/>
          <w:szCs w:val="28"/>
        </w:rPr>
        <w:t>0</w:t>
      </w:r>
      <w:r w:rsidR="007152FE">
        <w:rPr>
          <w:b/>
          <w:bCs/>
          <w:sz w:val="24"/>
          <w:szCs w:val="28"/>
        </w:rPr>
        <w:t>2</w:t>
      </w:r>
      <w:r w:rsidRPr="00114FBB">
        <w:rPr>
          <w:b/>
          <w:bCs/>
          <w:sz w:val="24"/>
          <w:szCs w:val="28"/>
        </w:rPr>
        <w:t>.20</w:t>
      </w:r>
      <w:r w:rsidR="002E18FE" w:rsidRPr="00114FBB">
        <w:rPr>
          <w:b/>
          <w:bCs/>
          <w:sz w:val="24"/>
          <w:szCs w:val="28"/>
        </w:rPr>
        <w:t>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FE8F19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7152FE">
        <w:rPr>
          <w:b/>
          <w:bCs/>
          <w:sz w:val="24"/>
          <w:szCs w:val="28"/>
        </w:rPr>
        <w:t>02</w:t>
      </w:r>
      <w:r w:rsidR="007152FE" w:rsidRPr="00114FBB">
        <w:rPr>
          <w:b/>
          <w:bCs/>
          <w:sz w:val="24"/>
          <w:szCs w:val="28"/>
        </w:rPr>
        <w:t>.</w:t>
      </w:r>
      <w:r w:rsidR="007152FE">
        <w:rPr>
          <w:b/>
          <w:bCs/>
          <w:sz w:val="24"/>
          <w:szCs w:val="28"/>
        </w:rPr>
        <w:t>02</w:t>
      </w:r>
      <w:r w:rsidR="007152FE" w:rsidRPr="00114FBB">
        <w:rPr>
          <w:b/>
          <w:bCs/>
          <w:sz w:val="24"/>
          <w:szCs w:val="28"/>
        </w:rPr>
        <w:t>.202</w:t>
      </w:r>
      <w:r w:rsidR="007152FE">
        <w:rPr>
          <w:b/>
          <w:bCs/>
          <w:sz w:val="24"/>
          <w:szCs w:val="28"/>
        </w:rPr>
        <w:t>2</w:t>
      </w:r>
      <w:r w:rsidR="007152FE"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10503B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7152FE">
        <w:rPr>
          <w:b/>
          <w:bCs/>
          <w:sz w:val="24"/>
          <w:szCs w:val="28"/>
        </w:rPr>
        <w:t>02</w:t>
      </w:r>
      <w:r w:rsidR="007152FE" w:rsidRPr="00114FBB">
        <w:rPr>
          <w:b/>
          <w:bCs/>
          <w:sz w:val="24"/>
          <w:szCs w:val="28"/>
        </w:rPr>
        <w:t>.</w:t>
      </w:r>
      <w:r w:rsidR="007152FE">
        <w:rPr>
          <w:b/>
          <w:bCs/>
          <w:sz w:val="24"/>
          <w:szCs w:val="28"/>
        </w:rPr>
        <w:t>02</w:t>
      </w:r>
      <w:r w:rsidR="007152FE" w:rsidRPr="00114FBB">
        <w:rPr>
          <w:b/>
          <w:bCs/>
          <w:sz w:val="24"/>
          <w:szCs w:val="28"/>
        </w:rPr>
        <w:t>.202</w:t>
      </w:r>
      <w:r w:rsidR="007152FE">
        <w:rPr>
          <w:b/>
          <w:bCs/>
          <w:sz w:val="24"/>
          <w:szCs w:val="28"/>
        </w:rPr>
        <w:t>2</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3D1B2E0"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7152FE">
        <w:rPr>
          <w:b/>
          <w:bCs/>
          <w:sz w:val="24"/>
          <w:szCs w:val="28"/>
        </w:rPr>
        <w:t>02</w:t>
      </w:r>
      <w:r w:rsidR="007152FE" w:rsidRPr="00114FBB">
        <w:rPr>
          <w:b/>
          <w:bCs/>
          <w:sz w:val="24"/>
          <w:szCs w:val="28"/>
        </w:rPr>
        <w:t>.</w:t>
      </w:r>
      <w:r w:rsidR="007152FE">
        <w:rPr>
          <w:b/>
          <w:bCs/>
          <w:sz w:val="24"/>
          <w:szCs w:val="28"/>
        </w:rPr>
        <w:t>02</w:t>
      </w:r>
      <w:r w:rsidR="007152FE" w:rsidRPr="00114FBB">
        <w:rPr>
          <w:b/>
          <w:bCs/>
          <w:sz w:val="24"/>
          <w:szCs w:val="28"/>
        </w:rPr>
        <w:t>.202</w:t>
      </w:r>
      <w:r w:rsidR="007152FE">
        <w:rPr>
          <w:b/>
          <w:bCs/>
          <w:sz w:val="24"/>
          <w:szCs w:val="28"/>
        </w:rPr>
        <w:t>2</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C14C92">
        <w:rPr>
          <w:b/>
          <w:bCs/>
          <w:sz w:val="20"/>
        </w:rPr>
        <w:t>Ошибка! Источник ссылки не найден</w:t>
      </w:r>
      <w:proofErr w:type="gramStart"/>
      <w:r w:rsidR="00C14C92">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C14C9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C14C92">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C14C92">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08543EB" w:rsidR="00313DC0" w:rsidRPr="004A7484" w:rsidRDefault="00313DC0" w:rsidP="00313DC0">
      <w:pPr>
        <w:rPr>
          <w:sz w:val="22"/>
          <w:szCs w:val="22"/>
        </w:rPr>
      </w:pPr>
      <w:r>
        <w:rPr>
          <w:sz w:val="22"/>
          <w:szCs w:val="22"/>
        </w:rPr>
        <w:t>от «______» ____________202</w:t>
      </w:r>
      <w:r w:rsidR="0019115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88D18AC"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7152FE">
        <w:rPr>
          <w:sz w:val="22"/>
          <w:szCs w:val="22"/>
        </w:rPr>
        <w:t>8</w:t>
      </w:r>
      <w:r w:rsidR="00807641">
        <w:rPr>
          <w:sz w:val="22"/>
          <w:szCs w:val="22"/>
        </w:rPr>
        <w:t>/2</w:t>
      </w:r>
      <w:r w:rsidR="00191157">
        <w:rPr>
          <w:sz w:val="22"/>
          <w:szCs w:val="22"/>
        </w:rPr>
        <w:t>2</w:t>
      </w:r>
      <w:r w:rsidR="00807641">
        <w:rPr>
          <w:sz w:val="22"/>
          <w:szCs w:val="22"/>
        </w:rPr>
        <w:t>061000</w:t>
      </w:r>
      <w:r w:rsidR="007152FE">
        <w:rPr>
          <w:sz w:val="22"/>
          <w:szCs w:val="22"/>
        </w:rPr>
        <w:t>036</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152F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7152FE"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7152FE" w:rsidRPr="00EC637D" w:rsidRDefault="007152FE"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6AB58470" w:rsidR="007152FE" w:rsidRPr="00EC637D" w:rsidRDefault="007152FE" w:rsidP="00D42048">
            <w:pPr>
              <w:rPr>
                <w:color w:val="000000"/>
              </w:rPr>
            </w:pPr>
            <w:proofErr w:type="spellStart"/>
            <w:r>
              <w:rPr>
                <w:color w:val="000000"/>
              </w:rPr>
              <w:t>Мононить</w:t>
            </w:r>
            <w:proofErr w:type="spellEnd"/>
            <w:r>
              <w:rPr>
                <w:color w:val="000000"/>
              </w:rPr>
              <w:t xml:space="preserve"> полипропиленовая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F4BF9F0" w:rsidR="007152FE" w:rsidRPr="00EC637D"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F6C15DE" w:rsidR="007152FE" w:rsidRPr="007152FE" w:rsidRDefault="007152FE" w:rsidP="00D42048">
            <w:pPr>
              <w:jc w:val="center"/>
            </w:pPr>
            <w:r w:rsidRPr="007152FE">
              <w:rPr>
                <w:bCs/>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79EDBB6" w:rsidR="007152FE" w:rsidRPr="00EC637D" w:rsidRDefault="007152FE" w:rsidP="00D42048">
            <w:pPr>
              <w:jc w:val="center"/>
            </w:pPr>
            <w:r>
              <w:t>50,11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147E77E" w:rsidR="007152FE" w:rsidRPr="00EC637D" w:rsidRDefault="007152FE" w:rsidP="00D42048">
            <w:pPr>
              <w:jc w:val="center"/>
            </w:pPr>
            <w:r>
              <w:t>1 803,96</w:t>
            </w:r>
          </w:p>
        </w:tc>
      </w:tr>
      <w:tr w:rsidR="007152FE" w:rsidRPr="00EC637D" w14:paraId="5D01FF3A"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7152FE" w:rsidRPr="00EC637D" w:rsidRDefault="007152FE"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23289C5D" w:rsidR="007152FE" w:rsidRPr="003F07B8" w:rsidRDefault="007152FE" w:rsidP="00D42048">
            <w:proofErr w:type="spellStart"/>
            <w:r>
              <w:rPr>
                <w:color w:val="000000"/>
              </w:rPr>
              <w:t>Мононить</w:t>
            </w:r>
            <w:proofErr w:type="spellEnd"/>
            <w:r>
              <w:rPr>
                <w:color w:val="000000"/>
              </w:rPr>
              <w:t xml:space="preserve"> полипропиленовая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7027F437"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630B8E9A" w:rsidR="007152FE" w:rsidRPr="007152FE" w:rsidRDefault="007152FE" w:rsidP="00D42048">
            <w:pPr>
              <w:jc w:val="center"/>
            </w:pPr>
            <w:r w:rsidRPr="007152FE">
              <w:rPr>
                <w:bC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54AE0B59" w:rsidR="007152FE" w:rsidRDefault="007152FE" w:rsidP="00D42048">
            <w:pPr>
              <w:jc w:val="center"/>
            </w:pPr>
            <w:r>
              <w:t>69,90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4B920506" w:rsidR="007152FE" w:rsidRDefault="007152FE" w:rsidP="00D42048">
            <w:pPr>
              <w:jc w:val="center"/>
            </w:pPr>
            <w:r>
              <w:t>5 592,00</w:t>
            </w:r>
          </w:p>
        </w:tc>
      </w:tr>
      <w:tr w:rsidR="007152FE" w:rsidRPr="00EC637D" w14:paraId="31600DAB"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7152FE" w:rsidRDefault="007152FE"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62636ABE" w:rsidR="007152FE" w:rsidRPr="003F07B8" w:rsidRDefault="007152FE" w:rsidP="00D42048">
            <w:proofErr w:type="spellStart"/>
            <w:r>
              <w:rPr>
                <w:color w:val="000000"/>
              </w:rPr>
              <w:t>Мононить</w:t>
            </w:r>
            <w:proofErr w:type="spellEnd"/>
            <w:r>
              <w:rPr>
                <w:color w:val="000000"/>
              </w:rPr>
              <w:t xml:space="preserve"> полипропиленовая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307CC513"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C42B131" w:rsidR="007152FE" w:rsidRPr="007152FE" w:rsidRDefault="007152FE" w:rsidP="00D42048">
            <w:pPr>
              <w:jc w:val="center"/>
            </w:pPr>
            <w:r w:rsidRPr="007152FE">
              <w:rPr>
                <w:b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09735A85" w:rsidR="007152FE" w:rsidRDefault="007152FE" w:rsidP="00D42048">
            <w:pPr>
              <w:jc w:val="center"/>
            </w:pPr>
            <w:r>
              <w:t>73,68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B4A374D" w:rsidR="007152FE" w:rsidRDefault="007152FE" w:rsidP="00D42048">
            <w:pPr>
              <w:jc w:val="center"/>
            </w:pPr>
            <w:r>
              <w:t>7 368,00</w:t>
            </w:r>
          </w:p>
        </w:tc>
      </w:tr>
      <w:tr w:rsidR="007152FE" w:rsidRPr="00EC637D" w14:paraId="5216A8CF"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7152FE" w:rsidRDefault="007152FE"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59397699" w:rsidR="007152FE" w:rsidRPr="003F07B8" w:rsidRDefault="007152FE" w:rsidP="00D42048">
            <w:proofErr w:type="spellStart"/>
            <w:r>
              <w:rPr>
                <w:color w:val="000000"/>
              </w:rPr>
              <w:t>Мононить</w:t>
            </w:r>
            <w:proofErr w:type="spellEnd"/>
            <w:r>
              <w:rPr>
                <w:color w:val="000000"/>
              </w:rPr>
              <w:t xml:space="preserve"> полипропиленовая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DDECB22"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8C059CE" w:rsidR="007152FE" w:rsidRPr="007152FE" w:rsidRDefault="007152FE" w:rsidP="00D42048">
            <w:pPr>
              <w:jc w:val="center"/>
            </w:pPr>
            <w:r w:rsidRPr="007152FE">
              <w:rPr>
                <w:bCs/>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6CD3CFE" w:rsidR="007152FE" w:rsidRDefault="007152FE" w:rsidP="00D42048">
            <w:pPr>
              <w:jc w:val="center"/>
            </w:pPr>
            <w:r>
              <w:t>51,90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520E624" w:rsidR="007152FE" w:rsidRDefault="007152FE" w:rsidP="00D42048">
            <w:pPr>
              <w:jc w:val="center"/>
            </w:pPr>
            <w:r>
              <w:t>7 785,00</w:t>
            </w:r>
          </w:p>
        </w:tc>
      </w:tr>
      <w:tr w:rsidR="007152FE" w:rsidRPr="00EC637D" w14:paraId="7213A0B5"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7152FE" w:rsidRDefault="007152FE"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E5A29F2" w:rsidR="007152FE" w:rsidRPr="003F07B8" w:rsidRDefault="007152FE" w:rsidP="00D42048">
            <w:r>
              <w:rPr>
                <w:color w:val="000000"/>
              </w:rPr>
              <w:t>Нить Кетгут (простой)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54171F82"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12E4CB8D" w:rsidR="007152FE" w:rsidRPr="007152FE" w:rsidRDefault="007152FE" w:rsidP="00D42048">
            <w:pPr>
              <w:jc w:val="center"/>
            </w:pPr>
            <w:r w:rsidRPr="007152FE">
              <w:rPr>
                <w:bCs/>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2846F00B" w:rsidR="007152FE" w:rsidRDefault="007152FE" w:rsidP="00D42048">
            <w:pPr>
              <w:jc w:val="center"/>
            </w:pPr>
            <w:r>
              <w:t>63,02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19DC134A" w:rsidR="007152FE" w:rsidRDefault="007152FE" w:rsidP="00D42048">
            <w:pPr>
              <w:jc w:val="center"/>
            </w:pPr>
            <w:r>
              <w:t>7 562,40</w:t>
            </w:r>
          </w:p>
        </w:tc>
      </w:tr>
      <w:tr w:rsidR="007152FE" w:rsidRPr="00EC637D" w14:paraId="3E4DC855"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7152FE" w:rsidRDefault="007152FE"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7130A55D" w:rsidR="007152FE" w:rsidRPr="003F07B8" w:rsidRDefault="007152FE" w:rsidP="00D42048">
            <w:r>
              <w:rPr>
                <w:color w:val="000000"/>
              </w:rPr>
              <w:t>Нить Кетгут (простой)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7D621FBB"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33182CEC" w:rsidR="007152FE" w:rsidRPr="007152FE" w:rsidRDefault="007152FE" w:rsidP="00D42048">
            <w:pPr>
              <w:jc w:val="center"/>
            </w:pPr>
            <w:r w:rsidRPr="007152FE">
              <w:rPr>
                <w:bCs/>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1FDAF3B7" w:rsidR="007152FE" w:rsidRDefault="007152FE" w:rsidP="00D42048">
            <w:pPr>
              <w:jc w:val="center"/>
            </w:pPr>
            <w:r>
              <w:t>70,01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6F6D4984" w:rsidR="007152FE" w:rsidRDefault="007152FE" w:rsidP="00D42048">
            <w:pPr>
              <w:jc w:val="center"/>
            </w:pPr>
            <w:r>
              <w:t>10 501,50</w:t>
            </w:r>
          </w:p>
        </w:tc>
      </w:tr>
      <w:tr w:rsidR="007152FE" w:rsidRPr="00EC637D" w14:paraId="5D1EFA98"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7152FE" w:rsidRDefault="007152FE"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53450C06" w:rsidR="007152FE" w:rsidRPr="003F07B8" w:rsidRDefault="007152FE" w:rsidP="00D42048">
            <w:r>
              <w:rPr>
                <w:color w:val="000000"/>
              </w:rPr>
              <w:t xml:space="preserve">Нить Капрон (крученая)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119A0E9C"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6AF4865A" w:rsidR="007152FE" w:rsidRPr="007152FE" w:rsidRDefault="007152FE" w:rsidP="00D42048">
            <w:pPr>
              <w:jc w:val="center"/>
            </w:pPr>
            <w:r w:rsidRPr="007152FE">
              <w:rPr>
                <w:bC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67E45AAB" w:rsidR="007152FE" w:rsidRDefault="007152FE" w:rsidP="00D42048">
            <w:pPr>
              <w:jc w:val="center"/>
            </w:pPr>
            <w:r>
              <w:t>50,96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71992050" w:rsidR="007152FE" w:rsidRDefault="007152FE" w:rsidP="00D42048">
            <w:pPr>
              <w:jc w:val="center"/>
            </w:pPr>
            <w:r>
              <w:t>4 076,80</w:t>
            </w:r>
          </w:p>
        </w:tc>
      </w:tr>
      <w:tr w:rsidR="007152FE" w:rsidRPr="00EC637D" w14:paraId="36B567BC" w14:textId="77777777" w:rsidTr="00D31A46">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7152FE" w:rsidRDefault="007152FE"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4A9E6678" w:rsidR="007152FE" w:rsidRPr="003F07B8" w:rsidRDefault="007152FE" w:rsidP="00D42048">
            <w:r>
              <w:rPr>
                <w:color w:val="000000"/>
              </w:rPr>
              <w:t xml:space="preserve">Нить Капрон (крученая)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5211E9BE"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5BE55987" w:rsidR="007152FE" w:rsidRPr="007152FE" w:rsidRDefault="007152FE" w:rsidP="00D42048">
            <w:pPr>
              <w:jc w:val="center"/>
            </w:pPr>
            <w:r w:rsidRPr="007152FE">
              <w:rPr>
                <w:bC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7DB30477" w:rsidR="007152FE" w:rsidRDefault="007152FE" w:rsidP="00D42048">
            <w:pPr>
              <w:jc w:val="center"/>
            </w:pPr>
            <w:r>
              <w:t>50,96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469BAB23" w:rsidR="007152FE" w:rsidRDefault="007152FE" w:rsidP="00D42048">
            <w:pPr>
              <w:jc w:val="center"/>
            </w:pPr>
            <w:r>
              <w:t>4 076,80</w:t>
            </w:r>
          </w:p>
        </w:tc>
      </w:tr>
      <w:tr w:rsidR="007152FE" w:rsidRPr="00EC637D" w14:paraId="4704F7FF" w14:textId="77777777" w:rsidTr="00D31A46">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7152FE" w:rsidRDefault="007152FE"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29D773CB" w:rsidR="007152FE" w:rsidRPr="003F07B8" w:rsidRDefault="007152FE" w:rsidP="00D42048">
            <w:r>
              <w:rPr>
                <w:color w:val="000000"/>
              </w:rPr>
              <w:t xml:space="preserve">Нить Капрон (крученая)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1E8267A7" w:rsidR="007152FE" w:rsidRDefault="007152FE" w:rsidP="00D42048">
            <w:pPr>
              <w:jc w:val="center"/>
              <w:rPr>
                <w:iCs/>
              </w:rPr>
            </w:pPr>
            <w:r>
              <w:rPr>
                <w:color w:val="000000"/>
                <w:sz w:val="22"/>
                <w:szCs w:val="22"/>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FDEB5AE" w:rsidR="007152FE" w:rsidRPr="007152FE" w:rsidRDefault="007152FE" w:rsidP="00D42048">
            <w:pPr>
              <w:jc w:val="center"/>
            </w:pPr>
            <w:r w:rsidRPr="007152FE">
              <w:rPr>
                <w:bCs/>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60AA767C" w:rsidR="007152FE" w:rsidRDefault="007152FE" w:rsidP="00D42048">
            <w:pPr>
              <w:jc w:val="center"/>
            </w:pPr>
            <w:r>
              <w:t>50,96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12E83252" w:rsidR="007152FE" w:rsidRDefault="007152FE" w:rsidP="00D42048">
            <w:pPr>
              <w:jc w:val="center"/>
            </w:pPr>
            <w:r>
              <w:t>6 115,20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67588178" w:rsidR="00D42048" w:rsidRPr="00EC637D" w:rsidRDefault="007152FE" w:rsidP="004B349E">
            <w:pPr>
              <w:jc w:val="center"/>
              <w:rPr>
                <w:b/>
              </w:rPr>
            </w:pPr>
            <w:r>
              <w:rPr>
                <w:b/>
              </w:rPr>
              <w:t>54 881,66</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7152FE" w:rsidRPr="00237AF0" w14:paraId="5CA0C536" w14:textId="77777777" w:rsidTr="00191157">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9C8FE5B" w:rsidR="007152FE" w:rsidRPr="00191157" w:rsidRDefault="007152FE" w:rsidP="00D42048">
            <w:pPr>
              <w:jc w:val="center"/>
              <w:rPr>
                <w:sz w:val="22"/>
                <w:szCs w:val="22"/>
              </w:rPr>
            </w:pPr>
            <w:r w:rsidRPr="00191157">
              <w:rPr>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72572135" w:rsidR="007152FE" w:rsidRPr="00191157" w:rsidRDefault="007152FE" w:rsidP="00D42048">
            <w:pPr>
              <w:rPr>
                <w:color w:val="000000"/>
                <w:sz w:val="22"/>
                <w:szCs w:val="22"/>
              </w:rPr>
            </w:pPr>
            <w:proofErr w:type="spellStart"/>
            <w:r>
              <w:rPr>
                <w:color w:val="000000"/>
              </w:rPr>
              <w:t>Мононить</w:t>
            </w:r>
            <w:proofErr w:type="spellEnd"/>
            <w:r>
              <w:rPr>
                <w:color w:val="000000"/>
              </w:rPr>
              <w:t xml:space="preserve"> полипропиленовая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04E9046B" w:rsidR="007152FE" w:rsidRPr="00191157" w:rsidRDefault="007152FE" w:rsidP="00D42048">
            <w:pPr>
              <w:rPr>
                <w:sz w:val="22"/>
                <w:szCs w:val="22"/>
              </w:rPr>
            </w:pPr>
            <w:r>
              <w:rPr>
                <w:color w:val="000000"/>
              </w:rPr>
              <w:t>USP 4-0, MP 1,5, L=75 см, игла колющая  20мм</w:t>
            </w:r>
            <w:proofErr w:type="gramStart"/>
            <w:r>
              <w:rPr>
                <w:color w:val="000000"/>
              </w:rPr>
              <w:t>,и</w:t>
            </w:r>
            <w:proofErr w:type="gramEnd"/>
            <w:r>
              <w:rPr>
                <w:color w:val="000000"/>
              </w:rPr>
              <w:t xml:space="preserve">згиб ½, </w:t>
            </w:r>
            <w:proofErr w:type="spellStart"/>
            <w:r>
              <w:rPr>
                <w:color w:val="000000"/>
              </w:rPr>
              <w:t>одноигольная</w:t>
            </w:r>
            <w:proofErr w:type="spellEnd"/>
            <w:r>
              <w:rPr>
                <w:color w:val="000000"/>
              </w:rPr>
              <w:t>, стерильная</w:t>
            </w:r>
          </w:p>
        </w:tc>
      </w:tr>
      <w:tr w:rsidR="007152FE" w:rsidRPr="00237AF0" w14:paraId="0705D546" w14:textId="77777777" w:rsidTr="007152FE">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457F5802" w:rsidR="007152FE" w:rsidRPr="00191157" w:rsidRDefault="007152FE" w:rsidP="00D42048">
            <w:pPr>
              <w:jc w:val="center"/>
              <w:rPr>
                <w:sz w:val="22"/>
                <w:szCs w:val="22"/>
              </w:rPr>
            </w:pPr>
            <w:r w:rsidRPr="00191157">
              <w:rPr>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7374563" w:rsidR="007152FE" w:rsidRPr="00191157" w:rsidRDefault="007152FE" w:rsidP="00D42048">
            <w:pPr>
              <w:rPr>
                <w:color w:val="000000"/>
                <w:sz w:val="22"/>
                <w:szCs w:val="22"/>
              </w:rPr>
            </w:pPr>
            <w:proofErr w:type="spellStart"/>
            <w:r>
              <w:rPr>
                <w:color w:val="000000"/>
              </w:rPr>
              <w:t>Мононить</w:t>
            </w:r>
            <w:proofErr w:type="spellEnd"/>
            <w:r>
              <w:rPr>
                <w:color w:val="000000"/>
              </w:rPr>
              <w:t xml:space="preserve"> полипропиленовая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586E9D3A" w:rsidR="007152FE" w:rsidRPr="00191157" w:rsidRDefault="007152FE" w:rsidP="00A433AE">
            <w:pPr>
              <w:rPr>
                <w:sz w:val="22"/>
                <w:szCs w:val="22"/>
              </w:rPr>
            </w:pPr>
            <w:r>
              <w:rPr>
                <w:color w:val="000000"/>
              </w:rPr>
              <w:t>USP 3</w:t>
            </w:r>
            <w:r w:rsidR="00736105">
              <w:rPr>
                <w:color w:val="000000"/>
              </w:rPr>
              <w:t>-0</w:t>
            </w:r>
            <w:r>
              <w:rPr>
                <w:color w:val="000000"/>
              </w:rPr>
              <w:t xml:space="preserve">, MP 2, L=75 см, игла колющая 25 мм, изгиб ½, </w:t>
            </w:r>
            <w:proofErr w:type="spellStart"/>
            <w:r>
              <w:rPr>
                <w:color w:val="000000"/>
              </w:rPr>
              <w:t>одноигольная</w:t>
            </w:r>
            <w:proofErr w:type="spellEnd"/>
            <w:r>
              <w:rPr>
                <w:color w:val="000000"/>
              </w:rPr>
              <w:t>, стерильная</w:t>
            </w:r>
          </w:p>
        </w:tc>
      </w:tr>
      <w:tr w:rsidR="007152FE" w:rsidRPr="00237AF0" w14:paraId="5EE41D39" w14:textId="77777777" w:rsidTr="007152FE">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383F4C44" w:rsidR="007152FE" w:rsidRPr="00191157" w:rsidRDefault="007152FE" w:rsidP="00D42048">
            <w:pPr>
              <w:jc w:val="center"/>
              <w:rPr>
                <w:sz w:val="22"/>
                <w:szCs w:val="22"/>
              </w:rPr>
            </w:pPr>
            <w:r w:rsidRPr="00191157">
              <w:rPr>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446206CF" w:rsidR="007152FE" w:rsidRPr="00191157" w:rsidRDefault="007152FE" w:rsidP="00D42048">
            <w:pPr>
              <w:rPr>
                <w:color w:val="000000"/>
                <w:sz w:val="22"/>
                <w:szCs w:val="22"/>
              </w:rPr>
            </w:pPr>
            <w:proofErr w:type="spellStart"/>
            <w:r>
              <w:rPr>
                <w:color w:val="000000"/>
              </w:rPr>
              <w:t>Мононить</w:t>
            </w:r>
            <w:proofErr w:type="spellEnd"/>
            <w:r>
              <w:rPr>
                <w:color w:val="000000"/>
              </w:rPr>
              <w:t xml:space="preserve"> полипропиленовая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269295EF" w:rsidR="007152FE" w:rsidRPr="00191157" w:rsidRDefault="007152FE" w:rsidP="00D42048">
            <w:pPr>
              <w:rPr>
                <w:sz w:val="22"/>
                <w:szCs w:val="22"/>
              </w:rPr>
            </w:pPr>
            <w:r>
              <w:rPr>
                <w:color w:val="000000"/>
              </w:rPr>
              <w:t>USP 3</w:t>
            </w:r>
            <w:r w:rsidR="00736105">
              <w:rPr>
                <w:color w:val="000000"/>
              </w:rPr>
              <w:t>-0</w:t>
            </w:r>
            <w:r>
              <w:rPr>
                <w:color w:val="000000"/>
              </w:rPr>
              <w:t xml:space="preserve">, MP 2, L=75 см, игла режущая 25 мм, изгиб ½, </w:t>
            </w:r>
            <w:proofErr w:type="spellStart"/>
            <w:r>
              <w:rPr>
                <w:color w:val="000000"/>
              </w:rPr>
              <w:t>одноигольная</w:t>
            </w:r>
            <w:proofErr w:type="spellEnd"/>
            <w:r>
              <w:rPr>
                <w:color w:val="000000"/>
              </w:rPr>
              <w:t>, стерильна</w:t>
            </w:r>
            <w:proofErr w:type="gramStart"/>
            <w:r>
              <w:rPr>
                <w:color w:val="000000"/>
              </w:rPr>
              <w:t>я(</w:t>
            </w:r>
            <w:proofErr w:type="gramEnd"/>
            <w:r>
              <w:rPr>
                <w:color w:val="000000"/>
              </w:rPr>
              <w:t>грань внутри)</w:t>
            </w:r>
          </w:p>
        </w:tc>
      </w:tr>
      <w:tr w:rsidR="007152FE" w:rsidRPr="00237AF0" w14:paraId="4AF1454E" w14:textId="77777777" w:rsidTr="00191157">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6A615B2C" w:rsidR="007152FE" w:rsidRPr="00191157" w:rsidRDefault="007152FE" w:rsidP="00D42048">
            <w:pPr>
              <w:jc w:val="center"/>
              <w:rPr>
                <w:sz w:val="22"/>
                <w:szCs w:val="22"/>
              </w:rPr>
            </w:pPr>
            <w:r w:rsidRPr="00191157">
              <w:rPr>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06186ED6" w:rsidR="007152FE" w:rsidRPr="00191157" w:rsidRDefault="007152FE" w:rsidP="00D42048">
            <w:pPr>
              <w:rPr>
                <w:color w:val="000000"/>
                <w:sz w:val="22"/>
                <w:szCs w:val="22"/>
              </w:rPr>
            </w:pPr>
            <w:proofErr w:type="spellStart"/>
            <w:r>
              <w:rPr>
                <w:color w:val="000000"/>
              </w:rPr>
              <w:t>Мононить</w:t>
            </w:r>
            <w:proofErr w:type="spellEnd"/>
            <w:r>
              <w:rPr>
                <w:color w:val="000000"/>
              </w:rPr>
              <w:t xml:space="preserve"> полипропиленовая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5F61DEDD" w:rsidR="007152FE" w:rsidRPr="00191157" w:rsidRDefault="007152FE" w:rsidP="00736105">
            <w:pPr>
              <w:rPr>
                <w:sz w:val="22"/>
                <w:szCs w:val="22"/>
              </w:rPr>
            </w:pPr>
            <w:r>
              <w:rPr>
                <w:color w:val="000000"/>
              </w:rPr>
              <w:t xml:space="preserve">USP 2, MP </w:t>
            </w:r>
            <w:r w:rsidR="00736105">
              <w:rPr>
                <w:color w:val="000000"/>
              </w:rPr>
              <w:t>5</w:t>
            </w:r>
            <w:r>
              <w:rPr>
                <w:color w:val="000000"/>
              </w:rPr>
              <w:t xml:space="preserve">, L=75 см, игла режущая 45 мм, изгиб ½, </w:t>
            </w:r>
            <w:proofErr w:type="spellStart"/>
            <w:r>
              <w:rPr>
                <w:color w:val="000000"/>
              </w:rPr>
              <w:t>одноигольная</w:t>
            </w:r>
            <w:proofErr w:type="spellEnd"/>
            <w:r>
              <w:rPr>
                <w:color w:val="000000"/>
              </w:rPr>
              <w:t>, стерильная</w:t>
            </w:r>
          </w:p>
        </w:tc>
      </w:tr>
      <w:tr w:rsidR="007152FE" w:rsidRPr="00237AF0" w14:paraId="57B9C16A" w14:textId="77777777" w:rsidTr="007152FE">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5C762A65" w:rsidR="007152FE" w:rsidRPr="00191157" w:rsidRDefault="007152FE" w:rsidP="00D42048">
            <w:pPr>
              <w:jc w:val="center"/>
              <w:rPr>
                <w:sz w:val="22"/>
                <w:szCs w:val="22"/>
              </w:rPr>
            </w:pPr>
            <w:r w:rsidRPr="00191157">
              <w:rPr>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28B3593" w:rsidR="007152FE" w:rsidRPr="00191157" w:rsidRDefault="007152FE" w:rsidP="00D42048">
            <w:pPr>
              <w:rPr>
                <w:color w:val="000000"/>
                <w:sz w:val="22"/>
                <w:szCs w:val="22"/>
              </w:rPr>
            </w:pPr>
            <w:r>
              <w:rPr>
                <w:color w:val="000000"/>
              </w:rPr>
              <w:t>Нить Кетгут (простой)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220BC40F" w:rsidR="007152FE" w:rsidRPr="00191157" w:rsidRDefault="007152FE" w:rsidP="00D42048">
            <w:pPr>
              <w:rPr>
                <w:sz w:val="22"/>
                <w:szCs w:val="22"/>
              </w:rPr>
            </w:pPr>
            <w:r>
              <w:rPr>
                <w:color w:val="000000"/>
              </w:rPr>
              <w:t xml:space="preserve">USP 3-0, MP 3, L=150 см, </w:t>
            </w:r>
            <w:proofErr w:type="spellStart"/>
            <w:r>
              <w:rPr>
                <w:color w:val="000000"/>
              </w:rPr>
              <w:t>безигольная</w:t>
            </w:r>
            <w:proofErr w:type="spellEnd"/>
            <w:r>
              <w:rPr>
                <w:color w:val="000000"/>
              </w:rPr>
              <w:t>, стерильная, лигатура</w:t>
            </w:r>
          </w:p>
        </w:tc>
      </w:tr>
      <w:tr w:rsidR="007152FE" w:rsidRPr="00237AF0" w14:paraId="0A0219F3" w14:textId="77777777" w:rsidTr="007152FE">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19A35D91" w:rsidR="007152FE" w:rsidRPr="00191157" w:rsidRDefault="007152FE" w:rsidP="00D42048">
            <w:pPr>
              <w:jc w:val="center"/>
              <w:rPr>
                <w:sz w:val="22"/>
                <w:szCs w:val="22"/>
              </w:rPr>
            </w:pPr>
            <w:r w:rsidRPr="00191157">
              <w:rPr>
                <w:sz w:val="22"/>
                <w:szCs w:val="22"/>
              </w:rPr>
              <w:lastRenderedPageBreak/>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6D5A497B" w:rsidR="007152FE" w:rsidRPr="00191157" w:rsidRDefault="007152FE" w:rsidP="00D42048">
            <w:pPr>
              <w:rPr>
                <w:color w:val="000000"/>
                <w:sz w:val="22"/>
                <w:szCs w:val="22"/>
              </w:rPr>
            </w:pPr>
            <w:r>
              <w:rPr>
                <w:color w:val="000000"/>
              </w:rPr>
              <w:t>Нить Кетгут (простой)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5326EDF8" w:rsidR="007152FE" w:rsidRPr="00191157" w:rsidRDefault="007152FE" w:rsidP="00D42048">
            <w:pPr>
              <w:rPr>
                <w:sz w:val="22"/>
                <w:szCs w:val="22"/>
              </w:rPr>
            </w:pPr>
            <w:r>
              <w:rPr>
                <w:color w:val="000000"/>
              </w:rPr>
              <w:t xml:space="preserve">USP 0, MP 4, L=150 см, </w:t>
            </w:r>
            <w:proofErr w:type="spellStart"/>
            <w:r>
              <w:rPr>
                <w:color w:val="000000"/>
              </w:rPr>
              <w:t>безигольная</w:t>
            </w:r>
            <w:proofErr w:type="spellEnd"/>
            <w:r>
              <w:rPr>
                <w:color w:val="000000"/>
              </w:rPr>
              <w:t>, стерильная, лигатура</w:t>
            </w:r>
          </w:p>
        </w:tc>
      </w:tr>
      <w:tr w:rsidR="007152FE" w:rsidRPr="00237AF0" w14:paraId="1F2F4B29" w14:textId="77777777" w:rsidTr="007152FE">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08E4FC1A" w:rsidR="007152FE" w:rsidRPr="00191157" w:rsidRDefault="007152FE" w:rsidP="00D42048">
            <w:pPr>
              <w:jc w:val="center"/>
              <w:rPr>
                <w:sz w:val="22"/>
                <w:szCs w:val="22"/>
              </w:rPr>
            </w:pPr>
            <w:r w:rsidRPr="00191157">
              <w:rPr>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19600C87" w:rsidR="007152FE" w:rsidRPr="00191157" w:rsidRDefault="007152FE" w:rsidP="00D42048">
            <w:pPr>
              <w:rPr>
                <w:color w:val="000000"/>
                <w:sz w:val="22"/>
                <w:szCs w:val="22"/>
              </w:rPr>
            </w:pPr>
            <w:r>
              <w:rPr>
                <w:color w:val="000000"/>
              </w:rPr>
              <w:t xml:space="preserve">Нить Капрон (крученая)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44117A94" w:rsidR="007152FE" w:rsidRPr="00191157" w:rsidRDefault="007152FE" w:rsidP="00D42048">
            <w:pPr>
              <w:ind w:firstLine="35"/>
              <w:rPr>
                <w:sz w:val="22"/>
                <w:szCs w:val="22"/>
              </w:rPr>
            </w:pPr>
            <w:r>
              <w:rPr>
                <w:color w:val="000000"/>
              </w:rPr>
              <w:t>USP 1, MP 4, L=75см, игла 35 мм, изгиб</w:t>
            </w:r>
            <w:proofErr w:type="gramStart"/>
            <w:r>
              <w:rPr>
                <w:color w:val="000000"/>
              </w:rPr>
              <w:t xml:space="preserve"> ½,</w:t>
            </w:r>
            <w:proofErr w:type="gramEnd"/>
            <w:r>
              <w:rPr>
                <w:color w:val="000000"/>
              </w:rPr>
              <w:t xml:space="preserve">режущая, </w:t>
            </w:r>
            <w:proofErr w:type="spellStart"/>
            <w:r>
              <w:rPr>
                <w:color w:val="000000"/>
              </w:rPr>
              <w:t>одноигольная</w:t>
            </w:r>
            <w:proofErr w:type="spellEnd"/>
            <w:r>
              <w:rPr>
                <w:color w:val="000000"/>
              </w:rPr>
              <w:t>, стерильная</w:t>
            </w:r>
          </w:p>
        </w:tc>
      </w:tr>
      <w:tr w:rsidR="007152FE" w:rsidRPr="00237AF0" w14:paraId="58864931" w14:textId="77777777" w:rsidTr="007152FE">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3738B98A" w:rsidR="007152FE" w:rsidRPr="00191157" w:rsidRDefault="007152FE" w:rsidP="00D42048">
            <w:pPr>
              <w:jc w:val="center"/>
              <w:rPr>
                <w:sz w:val="22"/>
                <w:szCs w:val="22"/>
              </w:rPr>
            </w:pPr>
            <w:r w:rsidRPr="00191157">
              <w:rPr>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27200EE8" w:rsidR="007152FE" w:rsidRPr="00191157" w:rsidRDefault="007152FE" w:rsidP="00D42048">
            <w:pPr>
              <w:rPr>
                <w:color w:val="000000"/>
                <w:sz w:val="22"/>
                <w:szCs w:val="22"/>
              </w:rPr>
            </w:pPr>
            <w:r>
              <w:rPr>
                <w:color w:val="000000"/>
              </w:rPr>
              <w:t xml:space="preserve">Нить Капрон (крученая)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0B41C37F" w:rsidR="007152FE" w:rsidRPr="00191157" w:rsidRDefault="007152FE" w:rsidP="00D42048">
            <w:pPr>
              <w:ind w:firstLine="35"/>
              <w:rPr>
                <w:sz w:val="22"/>
                <w:szCs w:val="22"/>
              </w:rPr>
            </w:pPr>
            <w:r>
              <w:rPr>
                <w:color w:val="000000"/>
              </w:rPr>
              <w:t>USP 2, MP 5, L=75см, игла 35 мм, изгиб</w:t>
            </w:r>
            <w:proofErr w:type="gramStart"/>
            <w:r>
              <w:rPr>
                <w:color w:val="000000"/>
              </w:rPr>
              <w:t xml:space="preserve"> ½,</w:t>
            </w:r>
            <w:proofErr w:type="gramEnd"/>
            <w:r>
              <w:rPr>
                <w:color w:val="000000"/>
              </w:rPr>
              <w:t xml:space="preserve">режущая, </w:t>
            </w:r>
            <w:proofErr w:type="spellStart"/>
            <w:r>
              <w:rPr>
                <w:color w:val="000000"/>
              </w:rPr>
              <w:t>одноигольная</w:t>
            </w:r>
            <w:proofErr w:type="spellEnd"/>
            <w:r>
              <w:rPr>
                <w:color w:val="000000"/>
              </w:rPr>
              <w:t>, стерильная</w:t>
            </w:r>
          </w:p>
        </w:tc>
      </w:tr>
      <w:tr w:rsidR="007152FE" w:rsidRPr="00237AF0" w14:paraId="598816FA" w14:textId="77777777" w:rsidTr="007152FE">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793AAF8A" w:rsidR="007152FE" w:rsidRPr="00191157" w:rsidRDefault="007152FE" w:rsidP="00D42048">
            <w:pPr>
              <w:jc w:val="center"/>
              <w:rPr>
                <w:sz w:val="22"/>
                <w:szCs w:val="22"/>
              </w:rPr>
            </w:pPr>
            <w:r w:rsidRPr="00191157">
              <w:rPr>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5EC6584A" w:rsidR="007152FE" w:rsidRPr="00191157" w:rsidRDefault="007152FE" w:rsidP="00D42048">
            <w:pPr>
              <w:rPr>
                <w:color w:val="000000"/>
                <w:sz w:val="22"/>
                <w:szCs w:val="22"/>
              </w:rPr>
            </w:pPr>
            <w:r>
              <w:rPr>
                <w:color w:val="000000"/>
              </w:rPr>
              <w:t xml:space="preserve">Нить Капрон (крученая)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48AF9CA0" w:rsidR="007152FE" w:rsidRPr="00191157" w:rsidRDefault="007152FE" w:rsidP="00D42048">
            <w:pPr>
              <w:ind w:firstLine="35"/>
              <w:rPr>
                <w:sz w:val="22"/>
                <w:szCs w:val="22"/>
              </w:rPr>
            </w:pPr>
            <w:r>
              <w:rPr>
                <w:color w:val="000000"/>
              </w:rPr>
              <w:t>USP 2</w:t>
            </w:r>
            <w:r w:rsidR="00736105">
              <w:rPr>
                <w:color w:val="000000"/>
              </w:rPr>
              <w:t>-0</w:t>
            </w:r>
            <w:bookmarkStart w:id="4" w:name="_GoBack"/>
            <w:bookmarkEnd w:id="4"/>
            <w:r>
              <w:rPr>
                <w:color w:val="000000"/>
              </w:rPr>
              <w:t>, MP 3, L=75см, игла 30 мм, изгиб</w:t>
            </w:r>
            <w:proofErr w:type="gramStart"/>
            <w:r>
              <w:rPr>
                <w:color w:val="000000"/>
              </w:rPr>
              <w:t xml:space="preserve"> ½,</w:t>
            </w:r>
            <w:proofErr w:type="gramEnd"/>
            <w:r>
              <w:rPr>
                <w:color w:val="000000"/>
              </w:rPr>
              <w:t xml:space="preserve">режущая, </w:t>
            </w:r>
            <w:proofErr w:type="spellStart"/>
            <w:r>
              <w:rPr>
                <w:color w:val="000000"/>
              </w:rPr>
              <w:t>одноигольная</w:t>
            </w:r>
            <w:proofErr w:type="spellEnd"/>
            <w:r>
              <w:rPr>
                <w:color w:val="000000"/>
              </w:rPr>
              <w:t>, стерильная</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7D6BCA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95A5290"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9115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877349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5CFB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9115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73A84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29DEF729"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CD9DA" w14:textId="77777777" w:rsidR="00D37E73" w:rsidRDefault="00D37E73">
      <w:r>
        <w:separator/>
      </w:r>
    </w:p>
  </w:endnote>
  <w:endnote w:type="continuationSeparator" w:id="0">
    <w:p w14:paraId="7D738D0C" w14:textId="77777777" w:rsidR="00D37E73" w:rsidRDefault="00D3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91157" w:rsidRDefault="001911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91157" w:rsidRDefault="001911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91157" w:rsidRDefault="001911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36105">
      <w:rPr>
        <w:rStyle w:val="ae"/>
        <w:noProof/>
      </w:rPr>
      <w:t>16</w:t>
    </w:r>
    <w:r>
      <w:rPr>
        <w:rStyle w:val="ae"/>
      </w:rPr>
      <w:fldChar w:fldCharType="end"/>
    </w:r>
  </w:p>
  <w:p w14:paraId="321017E2" w14:textId="77777777" w:rsidR="00191157" w:rsidRDefault="001911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0434F" w14:textId="77777777" w:rsidR="00D37E73" w:rsidRDefault="00D37E73">
      <w:r>
        <w:separator/>
      </w:r>
    </w:p>
  </w:footnote>
  <w:footnote w:type="continuationSeparator" w:id="0">
    <w:p w14:paraId="2E93F0F1" w14:textId="77777777" w:rsidR="00D37E73" w:rsidRDefault="00D37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2DDA"/>
    <w:rsid w:val="003F682D"/>
    <w:rsid w:val="00405C57"/>
    <w:rsid w:val="00416F23"/>
    <w:rsid w:val="00420EDC"/>
    <w:rsid w:val="00440BFB"/>
    <w:rsid w:val="00441ECE"/>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52FE"/>
    <w:rsid w:val="00716C10"/>
    <w:rsid w:val="00721196"/>
    <w:rsid w:val="0072369C"/>
    <w:rsid w:val="00724CB7"/>
    <w:rsid w:val="00733C6F"/>
    <w:rsid w:val="00736105"/>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C92"/>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549F"/>
    <w:rsid w:val="00DE4B53"/>
    <w:rsid w:val="00DE5CD6"/>
    <w:rsid w:val="00DF0FE2"/>
    <w:rsid w:val="00DF1E7D"/>
    <w:rsid w:val="00DF6E47"/>
    <w:rsid w:val="00E01E5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2245"/>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631D7"/>
    <w:rsid w:val="002C7689"/>
    <w:rsid w:val="002D39C0"/>
    <w:rsid w:val="003523BB"/>
    <w:rsid w:val="00370702"/>
    <w:rsid w:val="003A45C9"/>
    <w:rsid w:val="005B0BF9"/>
    <w:rsid w:val="006D324D"/>
    <w:rsid w:val="006D338E"/>
    <w:rsid w:val="006F2220"/>
    <w:rsid w:val="00802BC2"/>
    <w:rsid w:val="008521A4"/>
    <w:rsid w:val="00856CE6"/>
    <w:rsid w:val="00863D1E"/>
    <w:rsid w:val="0092176F"/>
    <w:rsid w:val="009B0D48"/>
    <w:rsid w:val="009F0FB6"/>
    <w:rsid w:val="00A32B7F"/>
    <w:rsid w:val="00AE66AE"/>
    <w:rsid w:val="00B05455"/>
    <w:rsid w:val="00C2235C"/>
    <w:rsid w:val="00D37BD7"/>
    <w:rsid w:val="00DE53A8"/>
    <w:rsid w:val="00E84B33"/>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B7768-4689-461A-B7BF-77B879D6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29</Pages>
  <Words>15357</Words>
  <Characters>87536</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102688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66</cp:revision>
  <cp:lastPrinted>2022-01-25T13:05:00Z</cp:lastPrinted>
  <dcterms:created xsi:type="dcterms:W3CDTF">2021-03-17T04:25:00Z</dcterms:created>
  <dcterms:modified xsi:type="dcterms:W3CDTF">2022-01-28T06:30:00Z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